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AD" w:rsidRPr="004D3CAD" w:rsidRDefault="004D3CAD" w:rsidP="004D3CAD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cs-CZ"/>
        </w:rPr>
        <w:t>Plnění informační povinnosti správce osobních údajů vůči subjektům údajů</w:t>
      </w:r>
    </w:p>
    <w:p w:rsidR="004D3CAD" w:rsidRPr="004D3CAD" w:rsidRDefault="004D3CAD" w:rsidP="004D3CAD">
      <w:pPr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8"/>
          <w:szCs w:val="18"/>
          <w:lang w:eastAsia="cs-CZ"/>
        </w:rPr>
        <w:t xml:space="preserve">podle ustanovení článku 13 Nařízení Evropského parlamentu a Rady Evropské Unie č. 2016/679 </w:t>
      </w:r>
    </w:p>
    <w:p w:rsidR="004D3CAD" w:rsidRPr="004D3CAD" w:rsidRDefault="004D3CAD" w:rsidP="004D3CAD">
      <w:pPr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8"/>
          <w:szCs w:val="18"/>
          <w:lang w:eastAsia="cs-CZ"/>
        </w:rPr>
        <w:t xml:space="preserve">ze dne 27. dubna 2016 o ochraně fyzických osob v souvislosti se zpracováním osobních údajů </w:t>
      </w:r>
    </w:p>
    <w:p w:rsidR="004D3CAD" w:rsidRPr="004D3CAD" w:rsidRDefault="004D3CAD" w:rsidP="004D3CAD">
      <w:pPr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8"/>
          <w:szCs w:val="18"/>
          <w:lang w:eastAsia="cs-CZ"/>
        </w:rPr>
        <w:t>a o volném pohybu těchto údajů (dále jen GDPR)</w:t>
      </w:r>
    </w:p>
    <w:p w:rsidR="004D3CAD" w:rsidRPr="004D3CAD" w:rsidRDefault="004D3CAD" w:rsidP="007A71C2">
      <w:pPr>
        <w:spacing w:after="0" w:line="240" w:lineRule="auto"/>
        <w:jc w:val="center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  </w:t>
      </w:r>
    </w:p>
    <w:p w:rsidR="004D3CAD" w:rsidRPr="004D3CAD" w:rsidRDefault="004D3CAD" w:rsidP="004D3CAD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Identifikace správce osobních údajů</w:t>
      </w:r>
    </w:p>
    <w:tbl>
      <w:tblPr>
        <w:tblW w:w="6000" w:type="dxa"/>
        <w:jc w:val="center"/>
        <w:tblBorders>
          <w:top w:val="outset" w:sz="6" w:space="0" w:color="A2A78F"/>
          <w:left w:val="outset" w:sz="6" w:space="0" w:color="A2A78F"/>
          <w:bottom w:val="outset" w:sz="6" w:space="0" w:color="A2A78F"/>
          <w:right w:val="outset" w:sz="6" w:space="0" w:color="A2A78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4260"/>
      </w:tblGrid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Název: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Obec 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Polerady</w:t>
            </w:r>
          </w:p>
        </w:tc>
      </w:tr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Sídlo: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Polerady</w:t>
            </w: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 </w:t>
            </w:r>
            <w:proofErr w:type="gramStart"/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č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.</w:t>
            </w: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p.</w:t>
            </w:r>
            <w:proofErr w:type="gramEnd"/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 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113</w:t>
            </w: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, 434 01 Most</w:t>
            </w:r>
          </w:p>
        </w:tc>
      </w:tr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IČ: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0026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6132</w:t>
            </w:r>
          </w:p>
        </w:tc>
      </w:tr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(+420) 476 109 03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0</w:t>
            </w:r>
          </w:p>
        </w:tc>
      </w:tr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7A71C2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hyperlink r:id="rId5" w:history="1">
              <w:r w:rsidR="004D3CAD" w:rsidRPr="00E4556D">
                <w:rPr>
                  <w:rStyle w:val="Hypertextovodkaz"/>
                  <w:rFonts w:ascii="PT Sans" w:eastAsia="Times New Roman" w:hAnsi="PT Sans" w:cs="Times New Roman"/>
                  <w:sz w:val="19"/>
                  <w:szCs w:val="19"/>
                  <w:lang w:eastAsia="cs-CZ"/>
                </w:rPr>
                <w:t>podatelna@oupolerady.cz</w:t>
              </w:r>
            </w:hyperlink>
          </w:p>
        </w:tc>
      </w:tr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ID DS: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proofErr w:type="spellStart"/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njkarvc</w:t>
            </w:r>
            <w:proofErr w:type="spellEnd"/>
          </w:p>
        </w:tc>
      </w:tr>
      <w:tr w:rsidR="004D3CAD" w:rsidRPr="004D3CAD" w:rsidTr="004D3CAD">
        <w:trPr>
          <w:jc w:val="center"/>
        </w:trPr>
        <w:tc>
          <w:tcPr>
            <w:tcW w:w="2186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Zástupce správce:</w:t>
            </w:r>
          </w:p>
        </w:tc>
        <w:tc>
          <w:tcPr>
            <w:tcW w:w="5269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proofErr w:type="gramStart"/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Alois   Macháč</w:t>
            </w:r>
            <w:proofErr w:type="gramEnd"/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, tel. (+420) 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602 275 274</w:t>
            </w:r>
          </w:p>
          <w:p w:rsidR="004D3CAD" w:rsidRPr="004D3CAD" w:rsidRDefault="007A71C2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hyperlink r:id="rId6" w:history="1">
              <w:r w:rsidR="004D3CAD" w:rsidRPr="00E4556D">
                <w:rPr>
                  <w:rStyle w:val="Hypertextovodkaz"/>
                  <w:rFonts w:ascii="PT Sans" w:eastAsia="Times New Roman" w:hAnsi="PT Sans" w:cs="Times New Roman"/>
                  <w:sz w:val="19"/>
                  <w:szCs w:val="19"/>
                  <w:lang w:eastAsia="cs-CZ"/>
                </w:rPr>
                <w:t>starosta@oupolerady.cz</w:t>
              </w:r>
            </w:hyperlink>
          </w:p>
        </w:tc>
      </w:tr>
    </w:tbl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Pověřenec pro ochranu osobních údajů</w:t>
      </w:r>
    </w:p>
    <w:tbl>
      <w:tblPr>
        <w:tblW w:w="6000" w:type="dxa"/>
        <w:jc w:val="center"/>
        <w:tblBorders>
          <w:top w:val="outset" w:sz="6" w:space="0" w:color="A2A78F"/>
          <w:left w:val="outset" w:sz="6" w:space="0" w:color="A2A78F"/>
          <w:bottom w:val="outset" w:sz="6" w:space="0" w:color="A2A78F"/>
          <w:right w:val="outset" w:sz="6" w:space="0" w:color="A2A78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4262"/>
      </w:tblGrid>
      <w:tr w:rsidR="004D3CAD" w:rsidRPr="004D3CAD" w:rsidTr="004D3CAD">
        <w:trPr>
          <w:jc w:val="center"/>
        </w:trPr>
        <w:tc>
          <w:tcPr>
            <w:tcW w:w="1725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Název:</w:t>
            </w:r>
          </w:p>
        </w:tc>
        <w:tc>
          <w:tcPr>
            <w:tcW w:w="4230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MAS Naděje o.p.s.</w:t>
            </w:r>
          </w:p>
        </w:tc>
      </w:tr>
      <w:tr w:rsidR="004D3CAD" w:rsidRPr="004D3CAD" w:rsidTr="004D3CAD">
        <w:trPr>
          <w:jc w:val="center"/>
        </w:trPr>
        <w:tc>
          <w:tcPr>
            <w:tcW w:w="1725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Sídlo:</w:t>
            </w:r>
          </w:p>
        </w:tc>
        <w:tc>
          <w:tcPr>
            <w:tcW w:w="4230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Lišnice čp. 42, 434 01 Most</w:t>
            </w:r>
          </w:p>
        </w:tc>
      </w:tr>
      <w:tr w:rsidR="004D3CAD" w:rsidRPr="004D3CAD" w:rsidTr="004D3CAD">
        <w:trPr>
          <w:jc w:val="center"/>
        </w:trPr>
        <w:tc>
          <w:tcPr>
            <w:tcW w:w="1725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IČ:</w:t>
            </w:r>
          </w:p>
        </w:tc>
        <w:tc>
          <w:tcPr>
            <w:tcW w:w="4230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8"/>
                <w:szCs w:val="18"/>
                <w:lang w:eastAsia="cs-CZ"/>
              </w:rPr>
              <w:t>22801073</w:t>
            </w:r>
          </w:p>
        </w:tc>
      </w:tr>
      <w:tr w:rsidR="004D3CAD" w:rsidRPr="004D3CAD" w:rsidTr="004D3CAD">
        <w:trPr>
          <w:jc w:val="center"/>
        </w:trPr>
        <w:tc>
          <w:tcPr>
            <w:tcW w:w="1725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Zodpovědná osoba:</w:t>
            </w:r>
          </w:p>
        </w:tc>
        <w:tc>
          <w:tcPr>
            <w:tcW w:w="4230" w:type="dxa"/>
            <w:tcBorders>
              <w:top w:val="outset" w:sz="6" w:space="0" w:color="A2A78F"/>
              <w:left w:val="outset" w:sz="6" w:space="0" w:color="A2A78F"/>
              <w:bottom w:val="outset" w:sz="6" w:space="0" w:color="A2A78F"/>
              <w:right w:val="outset" w:sz="6" w:space="0" w:color="A2A78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3CAD" w:rsidRPr="004D3CAD" w:rsidRDefault="004D3CAD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Mgr. Jan </w:t>
            </w:r>
            <w:proofErr w:type="spellStart"/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Vohnout</w:t>
            </w:r>
            <w:proofErr w:type="spellEnd"/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, tel. (+420) 608 313 132</w:t>
            </w:r>
          </w:p>
          <w:p w:rsidR="004D3CAD" w:rsidRPr="004D3CAD" w:rsidRDefault="007A71C2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hyperlink r:id="rId7" w:history="1">
              <w:r w:rsidR="004D3CAD" w:rsidRPr="004D3CAD">
                <w:rPr>
                  <w:rFonts w:ascii="PT Sans" w:eastAsia="Times New Roman" w:hAnsi="PT Sans" w:cs="Times New Roman"/>
                  <w:color w:val="A20A0A"/>
                  <w:sz w:val="19"/>
                  <w:szCs w:val="19"/>
                  <w:u w:val="single"/>
                  <w:lang w:eastAsia="cs-CZ"/>
                </w:rPr>
                <w:t>jan.vohnout@masnadeje.cz</w:t>
              </w:r>
            </w:hyperlink>
          </w:p>
          <w:p w:rsidR="004D3CAD" w:rsidRPr="004D3CAD" w:rsidRDefault="004D3CAD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Bc. Petr  </w:t>
            </w:r>
            <w:proofErr w:type="spellStart"/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Pillár</w:t>
            </w:r>
            <w:proofErr w:type="spellEnd"/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, tel. (+420) 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725</w:t>
            </w: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 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061</w:t>
            </w:r>
            <w:r w:rsidRPr="004D3CAD"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014</w:t>
            </w:r>
          </w:p>
          <w:p w:rsidR="004D3CAD" w:rsidRPr="004D3CAD" w:rsidRDefault="004D3CAD" w:rsidP="004D3CAD">
            <w:p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PT Sans" w:eastAsia="Times New Roman" w:hAnsi="PT Sans" w:cs="Times New Roman"/>
                <w:color w:val="000000"/>
                <w:sz w:val="19"/>
                <w:szCs w:val="19"/>
                <w:lang w:eastAsia="cs-CZ"/>
              </w:rPr>
              <w:t>starosta@oulisnice.cz</w:t>
            </w:r>
          </w:p>
        </w:tc>
      </w:tr>
    </w:tbl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 </w:t>
      </w: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Účel zpracováváních osobní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c</w:t>
      </w: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h údajů</w:t>
      </w: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vanish/>
          <w:color w:val="000000"/>
          <w:sz w:val="19"/>
          <w:szCs w:val="19"/>
          <w:lang w:eastAsia="cs-CZ"/>
        </w:rPr>
        <w:t> </w:t>
      </w: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Ke zpracovávání osobních údajů dochází za účelem plnění povinností plynoucích pro správce z výkonu samostatné působnosti a na základě přeneseného výkonu státní správy.</w:t>
      </w: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vanish/>
          <w:color w:val="000000"/>
          <w:sz w:val="19"/>
          <w:szCs w:val="19"/>
          <w:lang w:eastAsia="cs-CZ"/>
        </w:rPr>
        <w:t> </w:t>
      </w: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 </w:t>
      </w: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Právní základ pro zpracovávání osobních údajů</w:t>
      </w: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cs-CZ"/>
        </w:rPr>
        <w:t xml:space="preserve"> </w:t>
      </w:r>
    </w:p>
    <w:p w:rsidR="004D3CAD" w:rsidRPr="004D3CAD" w:rsidRDefault="004D3CAD" w:rsidP="004D3CA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Zpracování je nezbytné pro splnění právní povinnosti, která se na správce vztahuje</w:t>
      </w:r>
    </w:p>
    <w:p w:rsidR="004D3CAD" w:rsidRPr="004D3CAD" w:rsidRDefault="004D3CAD" w:rsidP="004D3CA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Zpracování je nezbytné pro splnění smlouvy, jejíž smluvní stranou je subjekt údajů, nebo pro provedení opatření přijatých před uzavřením smlouvy na žádost tohoto subjektu údajů</w:t>
      </w:r>
    </w:p>
    <w:p w:rsidR="004D3CAD" w:rsidRPr="004D3CAD" w:rsidRDefault="004D3CAD" w:rsidP="004D3CA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Zpracování je nezbytné pro účely oprávněných zájmů příslušného správce</w:t>
      </w:r>
    </w:p>
    <w:p w:rsidR="004D3CAD" w:rsidRPr="004D3CAD" w:rsidRDefault="004D3CAD" w:rsidP="004D3CA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Subjekt údajů udělil souhlas se zpracováním osobních údajů pro jeden či více konkrétních údajů</w:t>
      </w:r>
    </w:p>
    <w:p w:rsidR="004D3CAD" w:rsidRPr="007A71C2" w:rsidRDefault="004D3CAD" w:rsidP="004D3CA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Zpracování je nezbytné pro ochranu životně důležitých zájmů subjekt</w:t>
      </w:r>
      <w:r w:rsidR="007A71C2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u údajů, nebo jiné fyzické osob</w:t>
      </w: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lastRenderedPageBreak/>
        <w:t>Vykonávané agendy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Obecní zřízení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Evidence obyvatel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Místní poplatky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Krizové řízení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Požární ochrana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 xml:space="preserve">Agenda </w:t>
      </w:r>
      <w:proofErr w:type="spellStart"/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CzechPoint</w:t>
      </w:r>
      <w:proofErr w:type="spellEnd"/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Veřejné rozpočty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Finanční kontrola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Podpora regionálního rozvoje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Územní plánování a stavební řád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Sčítání lidu, domů a bytů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Ochrana přírody a krajiny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Sociální zabezpečení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Místní referendum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Ochrana ovzduší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Správní řád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Agenda voleb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Odpadové hospodářství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Poskytování informací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Ověřování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Archivnictví a spisová služba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Pozemní komunikace a silniční správní úřady</w:t>
      </w:r>
    </w:p>
    <w:p w:rsidR="004D3CAD" w:rsidRPr="004D3CAD" w:rsidRDefault="004D3CAD" w:rsidP="004D3CAD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Střet zájmů</w:t>
      </w:r>
    </w:p>
    <w:p w:rsidR="004D3CAD" w:rsidRPr="004D3CAD" w:rsidRDefault="004D3CAD" w:rsidP="007A71C2">
      <w:pPr>
        <w:spacing w:before="100" w:beforeAutospacing="1" w:after="100" w:afterAutospacing="1" w:line="240" w:lineRule="auto"/>
        <w:ind w:left="60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Kulturní činnost, WEB a sociální sítě</w:t>
      </w:r>
    </w:p>
    <w:p w:rsidR="004D3CAD" w:rsidRPr="004D3CAD" w:rsidRDefault="004D3CAD" w:rsidP="004D3CA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Subjekty údajů:</w:t>
      </w:r>
    </w:p>
    <w:p w:rsidR="004D3CAD" w:rsidRPr="004D3CAD" w:rsidRDefault="004D3CAD" w:rsidP="004D3CAD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Občané obce</w:t>
      </w:r>
    </w:p>
    <w:p w:rsidR="004D3CAD" w:rsidRPr="004D3CAD" w:rsidRDefault="004D3CAD" w:rsidP="004D3CAD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Zaměstnanci obce</w:t>
      </w:r>
    </w:p>
    <w:p w:rsidR="004D3CAD" w:rsidRPr="007A71C2" w:rsidRDefault="004D3CAD" w:rsidP="004D3CAD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Smluvní strany</w:t>
      </w:r>
      <w:bookmarkStart w:id="0" w:name="_GoBack"/>
      <w:bookmarkEnd w:id="0"/>
    </w:p>
    <w:p w:rsidR="004D3CAD" w:rsidRPr="004D3CAD" w:rsidRDefault="004D3CAD" w:rsidP="004D3CAD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lastRenderedPageBreak/>
        <w:t>Základní práva subjektů údajů: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být informován o rozsahu zpracovávaných osobních údajů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na přístup ke svým osobním údajům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na opravu svých osobních údajů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na výmaz svých osobních údajů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na omezení zpracování svých osobních údajů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na přenositelnost svých osobních údajů</w:t>
      </w:r>
    </w:p>
    <w:p w:rsidR="004D3CAD" w:rsidRPr="004D3CAD" w:rsidRDefault="004D3CAD" w:rsidP="004D3CA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Právo vznést námitku proti zpracování svých osobních údajů</w:t>
      </w:r>
    </w:p>
    <w:p w:rsidR="004D3CAD" w:rsidRPr="004D3CAD" w:rsidRDefault="004D3CAD" w:rsidP="004D3CAD">
      <w:pPr>
        <w:spacing w:after="0" w:line="24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  <w:t> </w:t>
      </w:r>
    </w:p>
    <w:p w:rsidR="004D3CAD" w:rsidRPr="004D3CAD" w:rsidRDefault="004D3CAD" w:rsidP="004D3CAD">
      <w:p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b/>
          <w:bCs/>
          <w:color w:val="000000"/>
          <w:sz w:val="21"/>
          <w:szCs w:val="21"/>
          <w:u w:val="single"/>
          <w:lang w:eastAsia="cs-CZ"/>
        </w:rPr>
        <w:t>Doplňující poučení</w:t>
      </w:r>
    </w:p>
    <w:p w:rsidR="004D3CAD" w:rsidRPr="004D3CAD" w:rsidRDefault="004D3CAD" w:rsidP="004D3CA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Správce údajů zpracovává pouze běžné osobní údaje</w:t>
      </w:r>
    </w:p>
    <w:p w:rsidR="004D3CAD" w:rsidRPr="004D3CAD" w:rsidRDefault="004D3CAD" w:rsidP="004D3CA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Správce údajů nepředává osobní údaje do zemí mimo Evropskou Unii.</w:t>
      </w:r>
    </w:p>
    <w:p w:rsidR="004D3CAD" w:rsidRPr="004D3CAD" w:rsidRDefault="004D3CAD" w:rsidP="004D3CA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V rámci zpracování osobních údajů nedochází k profilování subjektů údajů.  </w:t>
      </w:r>
    </w:p>
    <w:p w:rsidR="004D3CAD" w:rsidRPr="004D3CAD" w:rsidRDefault="004D3CAD" w:rsidP="004D3CA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Subjekt údajů má právo podat stížnost dozorovému orgánu, tj. Úřadu na ochranu osobních údajů.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 xml:space="preserve"> </w:t>
      </w: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Udělený souhlas subjektu údajů ke zpracování osobních údajů může být kdykoliv odvolán na základě písemné žádosti doručené na adresu sídla/kanceláře, e-mailovou zprávou nebo datovou zprávou správci údajů dle kontaktu výše.</w:t>
      </w:r>
    </w:p>
    <w:p w:rsidR="004D3CAD" w:rsidRPr="004D3CAD" w:rsidRDefault="004D3CAD" w:rsidP="004D3CA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PT Sans" w:eastAsia="Times New Roman" w:hAnsi="PT Sans" w:cs="Times New Roman"/>
          <w:color w:val="000000"/>
          <w:sz w:val="19"/>
          <w:szCs w:val="19"/>
          <w:lang w:eastAsia="cs-CZ"/>
        </w:rPr>
      </w:pPr>
      <w:r w:rsidRPr="004D3CAD">
        <w:rPr>
          <w:rFonts w:ascii="PT Sans" w:eastAsia="Times New Roman" w:hAnsi="PT Sans" w:cs="Times New Roman"/>
          <w:color w:val="000000"/>
          <w:sz w:val="21"/>
          <w:szCs w:val="21"/>
          <w:lang w:eastAsia="cs-CZ"/>
        </w:rPr>
        <w:t>V případě jakéhokoliv požadavku na informaci, přístup, opravu, výmaz, omezení zpracování, přenesení či vznesení námitky vztahující ke zpracování osobních údajů se subjekt údajů může kdykoliv obrátit na správce údajů.</w:t>
      </w:r>
    </w:p>
    <w:p w:rsidR="002D4BEA" w:rsidRDefault="007A71C2"/>
    <w:sectPr w:rsidR="002D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4718"/>
    <w:multiLevelType w:val="multilevel"/>
    <w:tmpl w:val="6E68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26854"/>
    <w:multiLevelType w:val="multilevel"/>
    <w:tmpl w:val="4E7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F79C3"/>
    <w:multiLevelType w:val="multilevel"/>
    <w:tmpl w:val="0DCA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B2B0D"/>
    <w:multiLevelType w:val="multilevel"/>
    <w:tmpl w:val="9A60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D"/>
    <w:rsid w:val="004D3CAD"/>
    <w:rsid w:val="007A71C2"/>
    <w:rsid w:val="009C2BF0"/>
    <w:rsid w:val="00C1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45277-EA7B-4D4E-8C6D-61092E96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3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71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414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vohnout@masnadej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oupolerady.cz" TargetMode="External"/><Relationship Id="rId5" Type="http://schemas.openxmlformats.org/officeDocument/2006/relationships/hyperlink" Target="mailto:podatelna@oupolerad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Esprimo</dc:creator>
  <cp:keywords/>
  <dc:description/>
  <cp:lastModifiedBy>Esprimo</cp:lastModifiedBy>
  <cp:revision>2</cp:revision>
  <dcterms:created xsi:type="dcterms:W3CDTF">2018-05-23T14:12:00Z</dcterms:created>
  <dcterms:modified xsi:type="dcterms:W3CDTF">2018-05-23T14:27:00Z</dcterms:modified>
</cp:coreProperties>
</file>